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4E4" w:rsidRDefault="00947DD5" w:rsidP="004549B3">
      <w:pPr>
        <w:spacing w:line="520" w:lineRule="exact"/>
        <w:ind w:firstLineChars="200" w:firstLine="560"/>
        <w:jc w:val="center"/>
        <w:rPr>
          <w:rFonts w:ascii="仿宋" w:eastAsia="仿宋" w:hAnsi="仿宋" w:cs="仿宋"/>
          <w:sz w:val="28"/>
          <w:szCs w:val="28"/>
        </w:rPr>
      </w:pPr>
      <w:bookmarkStart w:id="0" w:name="OLE_LINK5"/>
      <w:bookmarkStart w:id="1" w:name="OLE_LINK10"/>
      <w:bookmarkStart w:id="2" w:name="OLE_LINK11"/>
      <w:bookmarkStart w:id="3" w:name="OLE_LINK16"/>
      <w:r>
        <w:rPr>
          <w:rFonts w:ascii="仿宋" w:eastAsia="仿宋" w:hAnsi="仿宋" w:cs="仿宋" w:hint="eastAsia"/>
          <w:sz w:val="28"/>
          <w:szCs w:val="28"/>
        </w:rPr>
        <w:t>全院医疗设备维保服务采购</w:t>
      </w:r>
      <w:bookmarkEnd w:id="0"/>
      <w:r>
        <w:rPr>
          <w:rFonts w:ascii="仿宋" w:eastAsia="仿宋" w:hAnsi="仿宋" w:cs="仿宋" w:hint="eastAsia"/>
          <w:sz w:val="28"/>
          <w:szCs w:val="28"/>
        </w:rPr>
        <w:t>需求</w:t>
      </w:r>
    </w:p>
    <w:bookmarkEnd w:id="1"/>
    <w:bookmarkEnd w:id="2"/>
    <w:bookmarkEnd w:id="3"/>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采购方式：公开招标</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评标办法：最低评标价法</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(一)项目技术服务要求</w:t>
      </w:r>
    </w:p>
    <w:p w:rsidR="005B14E4" w:rsidRDefault="00947DD5">
      <w:pPr>
        <w:spacing w:line="520" w:lineRule="exact"/>
        <w:ind w:firstLineChars="200" w:firstLine="560"/>
        <w:rPr>
          <w:rFonts w:ascii="仿宋" w:eastAsia="仿宋" w:hAnsi="仿宋" w:cs="仿宋"/>
          <w:sz w:val="28"/>
          <w:szCs w:val="28"/>
        </w:rPr>
      </w:pPr>
      <w:bookmarkStart w:id="4" w:name="OLE_LINK14"/>
      <w:bookmarkStart w:id="5" w:name="OLE_LINK15"/>
      <w:r>
        <w:rPr>
          <w:rFonts w:ascii="仿宋" w:eastAsia="仿宋" w:hAnsi="仿宋" w:cs="仿宋" w:hint="eastAsia"/>
          <w:sz w:val="28"/>
          <w:szCs w:val="28"/>
        </w:rPr>
        <w:t>1.服务范围：《维保设备明细清单》列明的医疗设备共5266台，总资产3.386亿元（具体清单详见附件，若附件数据与正文不符，以附件为准）。</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2.服务内容：为服务范围内的设备提供维修、巡检、质控、</w:t>
      </w:r>
      <w:r w:rsidR="004549B3">
        <w:rPr>
          <w:rFonts w:ascii="仿宋" w:eastAsia="仿宋" w:hAnsi="仿宋" w:cs="仿宋" w:hint="eastAsia"/>
          <w:sz w:val="28"/>
          <w:szCs w:val="28"/>
        </w:rPr>
        <w:t>计量、</w:t>
      </w:r>
      <w:r>
        <w:rPr>
          <w:rFonts w:ascii="仿宋" w:eastAsia="仿宋" w:hAnsi="仿宋" w:cs="仿宋" w:hint="eastAsia"/>
          <w:sz w:val="28"/>
          <w:szCs w:val="28"/>
        </w:rPr>
        <w:t>保养、培训、盘点及统计、运行分析等服务。除另有约定外，维保所需要的备件（含合规替代品）费用以及需第三方或原厂维修所需的工时费、差旅费均由中标方负责。</w:t>
      </w:r>
    </w:p>
    <w:bookmarkEnd w:id="4"/>
    <w:bookmarkEnd w:id="5"/>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3.开机率要求：</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3.1实质性指标：</w:t>
      </w:r>
    </w:p>
    <w:p w:rsidR="005B14E4" w:rsidRDefault="00947DD5">
      <w:pPr>
        <w:numPr>
          <w:ilvl w:val="0"/>
          <w:numId w:val="1"/>
        </w:numPr>
        <w:spacing w:line="520" w:lineRule="exact"/>
        <w:rPr>
          <w:rFonts w:ascii="仿宋" w:eastAsia="仿宋" w:hAnsi="仿宋" w:cs="仿宋"/>
          <w:sz w:val="28"/>
          <w:szCs w:val="28"/>
        </w:rPr>
      </w:pPr>
      <w:r>
        <w:rPr>
          <w:rFonts w:ascii="仿宋" w:eastAsia="仿宋" w:hAnsi="仿宋" w:cs="仿宋" w:hint="eastAsia"/>
          <w:sz w:val="28"/>
          <w:szCs w:val="28"/>
        </w:rPr>
        <w:t>整体设备开机率≥95%；</w:t>
      </w:r>
    </w:p>
    <w:p w:rsidR="005B14E4" w:rsidRDefault="00947DD5">
      <w:pPr>
        <w:numPr>
          <w:ilvl w:val="0"/>
          <w:numId w:val="1"/>
        </w:numPr>
        <w:spacing w:line="520" w:lineRule="exact"/>
        <w:rPr>
          <w:rFonts w:ascii="仿宋" w:eastAsia="仿宋" w:hAnsi="仿宋" w:cs="仿宋"/>
          <w:sz w:val="28"/>
          <w:szCs w:val="28"/>
        </w:rPr>
      </w:pPr>
      <w:r>
        <w:rPr>
          <w:rFonts w:ascii="仿宋" w:eastAsia="仿宋" w:hAnsi="仿宋" w:cs="仿宋" w:hint="eastAsia"/>
          <w:sz w:val="28"/>
          <w:szCs w:val="28"/>
        </w:rPr>
        <w:t>影像设备（CT/MR/DR/DSA等）开机率≥94%；</w:t>
      </w:r>
    </w:p>
    <w:p w:rsidR="005B14E4" w:rsidRDefault="00947DD5">
      <w:pPr>
        <w:numPr>
          <w:ilvl w:val="0"/>
          <w:numId w:val="1"/>
        </w:numPr>
        <w:spacing w:line="520" w:lineRule="exact"/>
        <w:rPr>
          <w:rFonts w:ascii="仿宋" w:eastAsia="仿宋" w:hAnsi="仿宋" w:cs="仿宋"/>
          <w:sz w:val="28"/>
          <w:szCs w:val="28"/>
        </w:rPr>
      </w:pPr>
      <w:r>
        <w:rPr>
          <w:rFonts w:ascii="仿宋" w:eastAsia="仿宋" w:hAnsi="仿宋" w:cs="仿宋" w:hint="eastAsia"/>
          <w:sz w:val="28"/>
          <w:szCs w:val="28"/>
        </w:rPr>
        <w:t>急救设备（呼吸机、除颤仪等）开机率=100%。</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3.2统计口径：开机率=1-(计划外停机时长÷统计期总可工作时间)。</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3.3数据来源：以医院固定资产管理系统报修的电子记录为唯一依据（科室报修时间戳为始，维修完毕后的记录表填写时间为终）。</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3.4免责剔除：因科室人为损坏、不可抗力原因产生的等待时间予以扣除。免责需经使用科室主任、医学工程科主任双签确认，并附鉴定报告，方可从分母中剔除。免责剔除的时长，亦不计入第9条“平均故障修复时间</w:t>
      </w:r>
      <w:r>
        <w:rPr>
          <w:rFonts w:ascii="仿宋" w:eastAsia="仿宋" w:hAnsi="仿宋" w:cs="仿宋"/>
          <w:sz w:val="28"/>
          <w:szCs w:val="28"/>
        </w:rPr>
        <w:t>”</w:t>
      </w:r>
      <w:r>
        <w:rPr>
          <w:rFonts w:ascii="仿宋" w:eastAsia="仿宋" w:hAnsi="仿宋" w:cs="仿宋" w:hint="eastAsia"/>
          <w:sz w:val="28"/>
          <w:szCs w:val="28"/>
        </w:rPr>
        <w:t>的核算。</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4.备件仓库要求：</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4.1投标人须在本省具备独立的备件仓库（投标时提供房产证或</w:t>
      </w:r>
      <w:r>
        <w:rPr>
          <w:rFonts w:ascii="仿宋" w:eastAsia="仿宋" w:hAnsi="仿宋" w:cs="仿宋" w:hint="eastAsia"/>
          <w:sz w:val="28"/>
          <w:szCs w:val="28"/>
        </w:rPr>
        <w:lastRenderedPageBreak/>
        <w:t>租赁合同扫描件），配件库存充足，具备满足本项目应急调用的能力。</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4.2中标人需在院内驻点设置备品备件周转库。</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(二)场地及日常事务配合</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驻院服务中心建设：医院提供必要的办公场所。中标人应在院内建立驻院服务中心，设置维修间、办公间、质控间、备用机仓库、备品备件仓库等。相关场地的水电接入及基础装修由医院负责，中标人负责其内部维修平台搭建、专业维修工具(含焊接工具、电源地线检测设备)的配置及货架等内部设施的投入。中标人投入的维修工具及设施，在服务期满后，由中标人自行处置。</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2.制度编制：中标人协助医院医学工程科修订/完善全院医疗设备维护保养规程及相关制度。中标人须严格按照医院审定发布的制度执行维保作业。</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3.评审与检查配合：中标人须配合医院完成医院等级评审、医学装备质控检查及相关医疗器械检查工作。</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4.设备状态管理：每台设备张贴状态卡。中标人负责对设备状态卡中的设备状态进行日常确认和维护更新。</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5.技术资料管理：中标人负责医疗设备相关技术资料(如用户操作手册、电路图)的收集、整理与归档入库。</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6.新设备入场配合：协助采购方与厂家进行场地规划、运行环境监测、电源地线技术参数确认;协助采购方进行相关新购医疗设备的技术验收工作。</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7.培训服务：对科室新安装医疗设备，协助组织设备操作人员进行岗前培训。</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8.临床使用安全管理：中标人应组织专业人员做好医疗设备安全评估。对于医疗器械不良事件及安全事件，本着可疑必报原则，协助医院填写《可疑医疗器械不良事件报告》。</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9.报告管理：每月10日前向医学工程科提交设备运行状况报告。每半年向设备管理部门提交总结报告。</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(三)设备巡查保养</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1.巡检保养服务规程与计划：依据医院审定的制度，编制切实可行的维护保养规程与计划。</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2.设备巡查：服务工程师每月应定期对所服务的医疗设备资产进行全面巡查。对设备的运行情况、磨损程度进行检查校验。</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3.预防性维护(PM)：按医院要求编制全院医疗设备的预防性维护计划，并根据计划实施。</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(四)设备维修</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1.设备增减机制</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1.1</w:t>
      </w:r>
      <w:r>
        <w:rPr>
          <w:rFonts w:ascii="仿宋" w:eastAsia="仿宋" w:hAnsi="仿宋" w:cs="仿宋"/>
          <w:sz w:val="28"/>
          <w:szCs w:val="28"/>
        </w:rPr>
        <w:t>范围界定：除《维保设备明细清单》列明设备外，服务期内医院新增设备及质保到期的既有设备，均纳入中标人维保义务范围。</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1.2</w:t>
      </w:r>
      <w:r>
        <w:rPr>
          <w:rFonts w:ascii="仿宋" w:eastAsia="仿宋" w:hAnsi="仿宋" w:cs="仿宋"/>
          <w:sz w:val="28"/>
          <w:szCs w:val="28"/>
        </w:rPr>
        <w:t>费用调增：新增设备维保费用 = 新增设备资产</w:t>
      </w:r>
      <w:r>
        <w:rPr>
          <w:rFonts w:ascii="仿宋" w:eastAsia="仿宋" w:hAnsi="仿宋" w:cs="仿宋" w:hint="eastAsia"/>
          <w:sz w:val="28"/>
          <w:szCs w:val="28"/>
        </w:rPr>
        <w:t>原值</w:t>
      </w:r>
      <w:r>
        <w:rPr>
          <w:rFonts w:ascii="仿宋" w:eastAsia="仿宋" w:hAnsi="仿宋" w:cs="仿宋"/>
          <w:sz w:val="28"/>
          <w:szCs w:val="28"/>
        </w:rPr>
        <w:t xml:space="preserve"> × 本次招标确定的单位资产维保费率。</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1.3</w:t>
      </w:r>
      <w:r>
        <w:rPr>
          <w:rFonts w:ascii="仿宋" w:eastAsia="仿宋" w:hAnsi="仿宋" w:cs="仿宋"/>
          <w:sz w:val="28"/>
          <w:szCs w:val="28"/>
        </w:rPr>
        <w:t>费用调减：经医院正式批准报废的设备，自报废生效之日起，按上述公式对等核减维保费用。</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1.4</w:t>
      </w:r>
      <w:r>
        <w:rPr>
          <w:rFonts w:ascii="仿宋" w:eastAsia="仿宋" w:hAnsi="仿宋" w:cs="仿宋"/>
          <w:sz w:val="28"/>
          <w:szCs w:val="28"/>
        </w:rPr>
        <w:t>限制条款：中标人须无条件承接上述设备的维保工作，不得以设备老旧、型号特殊等理由拒绝服务或要求提高费率。</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2.配件合规要求：</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2.1维修配件须保证合法来源并可追溯。</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2.2若更换涉及设备主要性能、属于主要部件或更换后影响整机注册完整性的配件，须保证为全新且符合医疗器械法规要求的配件。对于影像设备（CT/MR等）的核心成像部件（如探测器、球管、梯度放大器），原则上应采用原厂配件或经厂家认证的同等级配件。</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2.3如所换配件属于海关报关管理范围内的,须提供报关单;如所</w:t>
      </w:r>
      <w:r>
        <w:rPr>
          <w:rFonts w:ascii="仿宋" w:eastAsia="仿宋" w:hAnsi="仿宋" w:cs="仿宋" w:hint="eastAsia"/>
          <w:sz w:val="28"/>
          <w:szCs w:val="28"/>
        </w:rPr>
        <w:lastRenderedPageBreak/>
        <w:t>换配件属于中国医疗器械注册管理范围内的，则应取得监督管理部门颁发的《医疗器械注册证》或《医疗器械备案凭证》。</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2.4若因配件不合规造成的后果由中标人承担。</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备用机要求：为保障临床业务不中断，投标人须提供备用机保障方案。多功能呼吸机2台，除颤仪2台，麻醉机2台、监护仪10台，推注泵10台，输液泵10台，冷光源1台，医用专用显示器1台。备用机必须来源合法、资料完整、性能良好、标识清晰。备用机不得选取最低端产品，应与医院现有在用设备档次相当。备用机调用响应时间不得超过1小时。若调用备用机期间发生故障，中标人须在15分钟内到场修复，无法修复的需立即提供替代机。</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4.第三方介入机制：</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因配件或技术问题导致设备停机，中标人未能及时修复的，按以下方式处理：</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4.1一般情形：设备停机超过5个自然日仍未恢复正常运行的，视为严重影响临床工作。经医院医学工程科书面催告并给予中标人2个自然日的修复宽限期，期限届满设备仍处于停机状态的，院方有权自行联系第三方维修或调用替代设备。</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4.2紧急情形：对于直接影响急诊、重症监护、手术开展等核心医疗业务的关键设备，或因停机导致医疗秩序中断、患者安全受威胁的，不适用前述5日等待期及2日宽限期。医院有权在判定影响发生后，立即启动第三方维修或调用替代设备，无需另行催告或征得中标人同意。</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无论何种情形，由此产生的所有合理费用（包括但不限于维修费、配件费、差旅费及替代设备租赁费等），凭有效凭证经审核后，医院有权优先从合同款中直接扣除，不足部分保留向中标人追偿的权利。</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5.响应时效：驻院服务中心须常设值班工程师，实行24小时响</w:t>
      </w:r>
      <w:r>
        <w:rPr>
          <w:rFonts w:ascii="仿宋" w:eastAsia="仿宋" w:hAnsi="仿宋" w:cs="仿宋" w:hint="eastAsia"/>
          <w:sz w:val="28"/>
          <w:szCs w:val="28"/>
        </w:rPr>
        <w:lastRenderedPageBreak/>
        <w:t>应。</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5.1紧急停机故障：指设备完全无法运行、或运行但存在安全隐患直接威胁患者安全的，不超过15分钟到达现场。</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5.2非停机故障：指设备未完全瘫痪、尚能维持基本运转，但存在功能缺失、精度偏差或报警提示，且不影响当前急诊、ICU、手术室等核心业务连续性的，不超过30分钟到达现场。</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6.信息化管理：所有记录须电子、纸质双档并存。服务设备均粘贴标识标签(可采用二维码等技术手段)。</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7.维修服务承诺：设备维修的人工和备件均不限次数提供维修服务。</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8.设备完好率：服务范围内所有医疗设备完好率保证≥95%，影像设备≥98%，急救、生命支持类设备完好率100%。完好率定义:设备功能正常、外观完好、附属配件齐全，处于随时可供临床使用状态。完好率的抽查方式为每月随机抽检或季度盘点。</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9.维修效率：</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9.1 整体设备平均故障修复时间 &lt; 3个自然日。</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9.2 相同故障设备一个月返修率 &lt; 10%。</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9.3 高值备件免责机制：特指本需求第10.1条定义的高值备件。因更换此类备件且物流/采购周期客观上超过3天，或因不可抗力、原厂技术封锁等非中标人可控因素导致的维修超期，该超期时段不计入第9.1款规定的“平均故障修复时间”考核。若因高值备件供应超时（第10.3条）导致设备停机，该时段亦适用本条款免责。</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中标人需在上述情形发生时，第一时间向医学工程科报备并提供有效证明（如原厂缺货函、物流提单、海关清关单据等）。</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10. 高值备件供应时效</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10.1 定义：本条款所称“高值备件”，指单件采购金额≥人民</w:t>
      </w:r>
      <w:r>
        <w:rPr>
          <w:rFonts w:ascii="仿宋" w:eastAsia="仿宋" w:hAnsi="仿宋" w:cs="仿宋" w:hint="eastAsia"/>
          <w:sz w:val="28"/>
          <w:szCs w:val="28"/>
        </w:rPr>
        <w:lastRenderedPageBreak/>
        <w:t>币10万元，或属于设备核心成像/控制部件的配件（如CT球管、探测器、MR冷头、DSA平板、高压发生器等）。具体清单由中标人在入场后30日内提交医学工程科备案。</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10.2 时效要求：针对前述高值备件的采购、调拨及物流运输，从报修确认需更换该备件之日起，至备件实物运抵医院库房之日止，总时长不得超过7个工作日。</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10.3 免责：因原厂停产、海关清关滞留、国际物流不可抗力等特殊原因导致超期的，中标人需提供官方证明材料，经医学工程科核实后可予以豁免，但中标人须提供同级替代方案或备用机支持。</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10.4 关联约束：高值备件的到场时效是计算整体设备维修效率（第9条）的重要组成部分。备件未按时到场导致的设备停机时间，全额计入中标人的责任停机时长。</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11.维修质量与准入：维修后的设备须达到国家相关质量要求后方可投入使用。设备更换备件后需经质控、计量检定/校准合格方可返回临床使用。</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12.质保期内配合：新购医疗设备质保期内出现故障时，中标人有义务按常规受理维修并到现场查看。</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13.返修率管控：对返修率高的医疗设备，应及时向医学工程科汇报。</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14.远程服务：根据医院需要，中标人应具备对所保修X线设备及大型医疗设备提供远程技术指导服务的能力。</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15.服务期延续：本项目服务期结束后，若尚有服务期间故障设备未完成维修的，中标方有义务按标准完成维修。</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(五)计量与质控</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1.质控检测体系：投标人须具备急救生命支持类设备和大型医用设备的质控体系，具备相应质控设备。</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2.质控合格率：应保障所有服务设备质控检测一次合格率≥98%。</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3.计量检测管理：中标人应协助医院建立计量检测预警机制。</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4.质控设备校准：配备的质控检测设备必须每年按计量法规要求进行检定、校准。</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5.报废鉴定：协助医学工程科对科室报损报废设备的申请进行技术鉴定与核实。</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(六)计量与检测费用界定</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强制检定设备：依据国家《强制检定的工作计量器具目录》要求，属于强制检定范围的医疗设备（如血压计、心电图机、胎心监护仪、体温计、医用超声源等），其年度强制检定由中标人负责向法定计量机构申报，并承担相</w:t>
      </w:r>
      <w:bookmarkStart w:id="6" w:name="_GoBack"/>
      <w:bookmarkEnd w:id="6"/>
      <w:r>
        <w:rPr>
          <w:rFonts w:ascii="仿宋" w:eastAsia="仿宋" w:hAnsi="仿宋" w:cs="仿宋" w:hint="eastAsia"/>
          <w:sz w:val="28"/>
          <w:szCs w:val="28"/>
        </w:rPr>
        <w:t>关配合工作。政府法定计量机构对强检设备的检定不收取费用，中标人不得以此为由向医院收取任何代办费或服务费。</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非强制检定设备：除强检设备外，医院根据《医疗器械使用质量监督管理办法》要求，需进行的非强制检定、质控检测、周期性性能校准（如部分影像设备、治疗设备等），所产生的第三方检测/校准费用，由中标人承担。</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3.费用限额：考虑到非强检设备的检测成本，中标人投标报价中已包含该项费用，且年度累计承担的检测/校准费用总额不低于人民币20万元，超出部分由中标人自行承担。</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(七)人员管理</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1.驻点人员配置（履约承诺）：</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1.1中标人须在项目所在地常驻技术服务团队不少于8人（医院工作人员不参与设备维修、预防性维护、质控工作）。</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1.2投标人须确保拟派团队中至少有5名工程师具备5年及以上医疗设备维修从业经历。投标时须提供该5人的履历表及业绩证明</w:t>
      </w:r>
      <w:r>
        <w:rPr>
          <w:rFonts w:ascii="仿宋" w:eastAsia="仿宋" w:hAnsi="仿宋" w:cs="仿宋" w:hint="eastAsia"/>
          <w:sz w:val="28"/>
          <w:szCs w:val="28"/>
        </w:rPr>
        <w:lastRenderedPageBreak/>
        <w:t>（如合同关键页或原单位盖章证明）；同时须出具承诺函，承诺该5人全员中标后常驻现场，且资历真实有效。若发现人员资历造假或擅自更换不符合资历人员，视为根本性违约。</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1.3学历与证书：技术人员应具备大专及以上学历。投标阶段不要求提供特定“厂家培训证”作为资格门槛。中标人需承诺入场人员具备相应的技术能力。</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1.4社保要求：中标后入场前，须提供驻场人员投标截止日前6个月内任意1个月的社保缴纳证明。</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1.5资格复核：所有驻场人员入场前须向医学工程科备案，提供身份证复印件、资质证书复印件及无犯罪记录证明(由公安机关出具)，由甲方按《合同附件:人员准入标准清单》进行资料复核。</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1.6稳定性：年度人员更换频率不高于30%，更换人员须提前7天书面报甲方同意，且新人须满足同等资质标准。</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2.现有人员协作机制：</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2.1医院医学工程科现有在编工程师隶属关系、人事管理及薪酬福利发放渠道不变。</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2.2中标人作为服务供应商,与医学工程科建立工作联络协调机制。</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2.3严禁中标人以任何形式为在编人员发放、代发或变相承担绩效奖金、津贴补贴等费用。</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3.专项技术能力要求（履约核验）：</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3.1影像设备：中标人须具备CT/MR等大型设备的维修支持能力。中标后须提供与主流影像设备原厂签署的有效期内的售后服务协议或备件供应协议（作为履约能力核验，不作为投标否决条件）。</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3.2其他专科：至少一名急救设备技术人员；至少一名血透机维修技术人员；至少一名特种设备技术人员（压力容器证）。</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3.3细分领域：至少1位工程师具有超声/检验/腔镜/手术室设备等任一领域的维修经验（提供过往业绩证明）。</w:t>
      </w:r>
    </w:p>
    <w:p w:rsidR="005B14E4" w:rsidRDefault="00947DD5">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4.用工责任：中标人自行负责其招聘员工的一切工资、福利;如发生工伤、疾病乃至死亡的一切责任及费用由中标人全部负责。</w:t>
      </w:r>
    </w:p>
    <w:p w:rsidR="004549B3" w:rsidRPr="004549B3" w:rsidRDefault="004549B3" w:rsidP="004549B3">
      <w:pPr>
        <w:spacing w:line="520" w:lineRule="exact"/>
        <w:ind w:firstLineChars="200" w:firstLine="562"/>
        <w:rPr>
          <w:rFonts w:ascii="仿宋" w:eastAsia="仿宋" w:hAnsi="仿宋" w:cs="仿宋"/>
          <w:b/>
          <w:sz w:val="28"/>
          <w:szCs w:val="28"/>
        </w:rPr>
      </w:pPr>
      <w:r w:rsidRPr="004549B3">
        <w:rPr>
          <w:rFonts w:ascii="仿宋" w:eastAsia="仿宋" w:hAnsi="仿宋" w:cs="仿宋" w:hint="eastAsia"/>
          <w:b/>
          <w:sz w:val="28"/>
          <w:szCs w:val="28"/>
        </w:rPr>
        <w:t>附件：《维保设备明细清单》</w:t>
      </w:r>
    </w:p>
    <w:p w:rsidR="004549B3" w:rsidRDefault="004549B3">
      <w:pPr>
        <w:spacing w:line="520" w:lineRule="exact"/>
        <w:ind w:firstLineChars="200" w:firstLine="560"/>
        <w:rPr>
          <w:rFonts w:ascii="仿宋" w:eastAsia="仿宋" w:hAnsi="仿宋" w:cs="仿宋"/>
          <w:sz w:val="28"/>
          <w:szCs w:val="28"/>
        </w:rPr>
      </w:pPr>
    </w:p>
    <w:p w:rsidR="004549B3" w:rsidRDefault="004549B3">
      <w:pPr>
        <w:spacing w:line="520" w:lineRule="exact"/>
        <w:ind w:firstLineChars="200" w:firstLine="560"/>
        <w:rPr>
          <w:rFonts w:ascii="仿宋" w:eastAsia="仿宋" w:hAnsi="仿宋" w:cs="仿宋"/>
          <w:sz w:val="28"/>
          <w:szCs w:val="28"/>
        </w:rPr>
      </w:pPr>
    </w:p>
    <w:p w:rsidR="004549B3" w:rsidRDefault="004549B3">
      <w:pPr>
        <w:spacing w:line="520" w:lineRule="exact"/>
        <w:ind w:firstLineChars="200" w:firstLine="560"/>
        <w:rPr>
          <w:rFonts w:ascii="仿宋" w:eastAsia="仿宋" w:hAnsi="仿宋" w:cs="仿宋"/>
          <w:sz w:val="28"/>
          <w:szCs w:val="28"/>
        </w:rPr>
      </w:pPr>
    </w:p>
    <w:p w:rsidR="004549B3" w:rsidRDefault="004549B3">
      <w:pPr>
        <w:spacing w:line="520" w:lineRule="exact"/>
        <w:ind w:firstLineChars="200" w:firstLine="560"/>
        <w:rPr>
          <w:rFonts w:ascii="仿宋" w:eastAsia="仿宋" w:hAnsi="仿宋" w:cs="仿宋"/>
          <w:sz w:val="28"/>
          <w:szCs w:val="28"/>
        </w:rPr>
      </w:pPr>
    </w:p>
    <w:p w:rsidR="004549B3" w:rsidRDefault="004549B3">
      <w:pPr>
        <w:spacing w:line="520" w:lineRule="exact"/>
        <w:ind w:firstLineChars="200" w:firstLine="560"/>
        <w:rPr>
          <w:rFonts w:ascii="仿宋" w:eastAsia="仿宋" w:hAnsi="仿宋" w:cs="仿宋"/>
          <w:sz w:val="28"/>
          <w:szCs w:val="28"/>
        </w:rPr>
      </w:pPr>
    </w:p>
    <w:p w:rsidR="004549B3" w:rsidRDefault="004549B3">
      <w:pPr>
        <w:spacing w:line="520" w:lineRule="exact"/>
        <w:ind w:firstLineChars="200" w:firstLine="560"/>
        <w:rPr>
          <w:rFonts w:ascii="仿宋" w:eastAsia="仿宋" w:hAnsi="仿宋" w:cs="仿宋"/>
          <w:sz w:val="28"/>
          <w:szCs w:val="28"/>
        </w:rPr>
      </w:pPr>
    </w:p>
    <w:p w:rsidR="004549B3" w:rsidRDefault="004549B3">
      <w:pPr>
        <w:spacing w:line="520" w:lineRule="exact"/>
        <w:ind w:firstLineChars="200" w:firstLine="560"/>
        <w:rPr>
          <w:rFonts w:ascii="仿宋" w:eastAsia="仿宋" w:hAnsi="仿宋" w:cs="仿宋"/>
          <w:sz w:val="28"/>
          <w:szCs w:val="28"/>
        </w:rPr>
      </w:pPr>
    </w:p>
    <w:p w:rsidR="004549B3" w:rsidRDefault="004549B3">
      <w:pPr>
        <w:spacing w:line="520" w:lineRule="exact"/>
        <w:ind w:firstLineChars="200" w:firstLine="560"/>
        <w:rPr>
          <w:rFonts w:ascii="仿宋" w:eastAsia="仿宋" w:hAnsi="仿宋" w:cs="仿宋"/>
          <w:sz w:val="28"/>
          <w:szCs w:val="28"/>
        </w:rPr>
      </w:pPr>
    </w:p>
    <w:p w:rsidR="004549B3" w:rsidRDefault="004549B3" w:rsidP="004549B3">
      <w:pPr>
        <w:spacing w:line="520" w:lineRule="exact"/>
        <w:ind w:firstLineChars="200" w:firstLine="560"/>
        <w:rPr>
          <w:rFonts w:ascii="仿宋" w:eastAsia="仿宋" w:hAnsi="仿宋" w:cs="仿宋"/>
          <w:sz w:val="28"/>
          <w:szCs w:val="28"/>
        </w:rPr>
      </w:pPr>
    </w:p>
    <w:p w:rsidR="004549B3" w:rsidRDefault="004549B3" w:rsidP="004549B3">
      <w:pPr>
        <w:spacing w:line="520" w:lineRule="exact"/>
        <w:ind w:firstLineChars="200" w:firstLine="560"/>
        <w:rPr>
          <w:rFonts w:ascii="仿宋" w:eastAsia="仿宋" w:hAnsi="仿宋" w:cs="仿宋"/>
          <w:sz w:val="28"/>
          <w:szCs w:val="28"/>
        </w:rPr>
      </w:pPr>
    </w:p>
    <w:p w:rsidR="004549B3" w:rsidRDefault="004549B3" w:rsidP="004549B3">
      <w:pPr>
        <w:spacing w:line="520" w:lineRule="exact"/>
        <w:ind w:firstLineChars="200" w:firstLine="560"/>
        <w:rPr>
          <w:rFonts w:ascii="仿宋" w:eastAsia="仿宋" w:hAnsi="仿宋" w:cs="仿宋"/>
          <w:sz w:val="28"/>
          <w:szCs w:val="28"/>
        </w:rPr>
      </w:pPr>
    </w:p>
    <w:p w:rsidR="004549B3" w:rsidRDefault="004549B3" w:rsidP="004549B3">
      <w:pPr>
        <w:spacing w:line="520" w:lineRule="exact"/>
        <w:ind w:firstLineChars="200" w:firstLine="560"/>
        <w:rPr>
          <w:rFonts w:ascii="仿宋" w:eastAsia="仿宋" w:hAnsi="仿宋" w:cs="仿宋"/>
          <w:sz w:val="28"/>
          <w:szCs w:val="28"/>
        </w:rPr>
      </w:pPr>
    </w:p>
    <w:p w:rsidR="004549B3" w:rsidRDefault="004549B3" w:rsidP="004549B3">
      <w:pPr>
        <w:spacing w:line="520" w:lineRule="exact"/>
        <w:ind w:firstLineChars="200" w:firstLine="560"/>
        <w:rPr>
          <w:rFonts w:ascii="仿宋" w:eastAsia="仿宋" w:hAnsi="仿宋" w:cs="仿宋"/>
          <w:sz w:val="28"/>
          <w:szCs w:val="28"/>
        </w:rPr>
      </w:pPr>
    </w:p>
    <w:p w:rsidR="004549B3" w:rsidRDefault="004549B3" w:rsidP="004549B3">
      <w:pPr>
        <w:spacing w:line="520" w:lineRule="exact"/>
        <w:ind w:firstLineChars="200" w:firstLine="560"/>
        <w:rPr>
          <w:rFonts w:ascii="仿宋" w:eastAsia="仿宋" w:hAnsi="仿宋" w:cs="仿宋"/>
          <w:sz w:val="28"/>
          <w:szCs w:val="28"/>
        </w:rPr>
      </w:pPr>
    </w:p>
    <w:p w:rsidR="004549B3" w:rsidRDefault="002512D3" w:rsidP="002512D3">
      <w:pPr>
        <w:spacing w:line="520" w:lineRule="exact"/>
        <w:ind w:firstLineChars="200" w:firstLine="560"/>
        <w:rPr>
          <w:rFonts w:ascii="仿宋" w:eastAsia="仿宋" w:hAnsi="仿宋" w:cs="仿宋"/>
          <w:sz w:val="28"/>
          <w:szCs w:val="28"/>
        </w:rPr>
      </w:pPr>
      <w:r>
        <w:rPr>
          <w:rFonts w:ascii="仿宋" w:eastAsia="仿宋" w:hAnsi="仿宋" w:cs="仿宋"/>
          <w:noProof/>
          <w:sz w:val="28"/>
          <w:szCs w:val="28"/>
        </w:rPr>
        <w:drawing>
          <wp:anchor distT="0" distB="0" distL="114300" distR="114300" simplePos="0" relativeHeight="251658240" behindDoc="1" locked="0" layoutInCell="1" allowOverlap="1">
            <wp:simplePos x="0" y="0"/>
            <wp:positionH relativeFrom="column">
              <wp:posOffset>377046</wp:posOffset>
            </wp:positionH>
            <wp:positionV relativeFrom="paragraph">
              <wp:posOffset>-4496758</wp:posOffset>
            </wp:positionV>
            <wp:extent cx="4759349" cy="4761781"/>
            <wp:effectExtent l="19050" t="0" r="3151" b="0"/>
            <wp:wrapNone/>
            <wp:docPr id="1" name="图片 1" descr="F:\xwechat_files\shideguo_64f2\temp\RWTemp\2026-05\1e122fc55090e14eea734a5a0619c2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xwechat_files\shideguo_64f2\temp\RWTemp\2026-05\1e122fc55090e14eea734a5a0619c236.png"/>
                    <pic:cNvPicPr>
                      <a:picLocks noChangeAspect="1" noChangeArrowheads="1"/>
                    </pic:cNvPicPr>
                  </pic:nvPicPr>
                  <pic:blipFill>
                    <a:blip r:embed="rId7"/>
                    <a:srcRect/>
                    <a:stretch>
                      <a:fillRect/>
                    </a:stretch>
                  </pic:blipFill>
                  <pic:spPr bwMode="auto">
                    <a:xfrm>
                      <a:off x="0" y="0"/>
                      <a:ext cx="4759349" cy="4761781"/>
                    </a:xfrm>
                    <a:prstGeom prst="rect">
                      <a:avLst/>
                    </a:prstGeom>
                    <a:noFill/>
                    <a:ln w="9525">
                      <a:noFill/>
                      <a:miter lim="800000"/>
                      <a:headEnd/>
                      <a:tailEnd/>
                    </a:ln>
                  </pic:spPr>
                </pic:pic>
              </a:graphicData>
            </a:graphic>
          </wp:anchor>
        </w:drawing>
      </w:r>
    </w:p>
    <w:sectPr w:rsidR="004549B3" w:rsidSect="005B14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6C3" w:rsidRDefault="00CB56C3" w:rsidP="00053080">
      <w:r>
        <w:separator/>
      </w:r>
    </w:p>
  </w:endnote>
  <w:endnote w:type="continuationSeparator" w:id="1">
    <w:p w:rsidR="00CB56C3" w:rsidRDefault="00CB56C3" w:rsidP="0005308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6C3" w:rsidRDefault="00CB56C3" w:rsidP="00053080">
      <w:r>
        <w:separator/>
      </w:r>
    </w:p>
  </w:footnote>
  <w:footnote w:type="continuationSeparator" w:id="1">
    <w:p w:rsidR="00CB56C3" w:rsidRDefault="00CB56C3" w:rsidP="000530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B2ED48"/>
    <w:multiLevelType w:val="singleLevel"/>
    <w:tmpl w:val="7CB2ED48"/>
    <w:lvl w:ilvl="0">
      <w:start w:val="1"/>
      <w:numFmt w:val="bullet"/>
      <w:lvlText w:val=""/>
      <w:lvlJc w:val="left"/>
      <w:pPr>
        <w:ind w:left="420" w:firstLine="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5B14E4"/>
    <w:rsid w:val="00053080"/>
    <w:rsid w:val="002512D3"/>
    <w:rsid w:val="002B7802"/>
    <w:rsid w:val="004549B3"/>
    <w:rsid w:val="005B14E4"/>
    <w:rsid w:val="006A056A"/>
    <w:rsid w:val="00947DD5"/>
    <w:rsid w:val="00CB56C3"/>
    <w:rsid w:val="00D76174"/>
    <w:rsid w:val="00E509FC"/>
    <w:rsid w:val="010740BD"/>
    <w:rsid w:val="031F617D"/>
    <w:rsid w:val="11EF66A4"/>
    <w:rsid w:val="1CBF1DF9"/>
    <w:rsid w:val="1D4A2E8E"/>
    <w:rsid w:val="3102388A"/>
    <w:rsid w:val="3EE06334"/>
    <w:rsid w:val="3FCA024C"/>
    <w:rsid w:val="53005A6E"/>
    <w:rsid w:val="5BC00AF9"/>
    <w:rsid w:val="62270009"/>
    <w:rsid w:val="63B66692"/>
    <w:rsid w:val="694C6BA2"/>
    <w:rsid w:val="6E2210A1"/>
    <w:rsid w:val="6F814C64"/>
    <w:rsid w:val="71940C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14E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530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53080"/>
    <w:rPr>
      <w:rFonts w:asciiTheme="minorHAnsi" w:eastAsiaTheme="minorEastAsia" w:hAnsiTheme="minorHAnsi" w:cstheme="minorBidi"/>
      <w:kern w:val="2"/>
      <w:sz w:val="18"/>
      <w:szCs w:val="18"/>
    </w:rPr>
  </w:style>
  <w:style w:type="paragraph" w:styleId="a4">
    <w:name w:val="footer"/>
    <w:basedOn w:val="a"/>
    <w:link w:val="Char0"/>
    <w:rsid w:val="00053080"/>
    <w:pPr>
      <w:tabs>
        <w:tab w:val="center" w:pos="4153"/>
        <w:tab w:val="right" w:pos="8306"/>
      </w:tabs>
      <w:snapToGrid w:val="0"/>
      <w:jc w:val="left"/>
    </w:pPr>
    <w:rPr>
      <w:sz w:val="18"/>
      <w:szCs w:val="18"/>
    </w:rPr>
  </w:style>
  <w:style w:type="character" w:customStyle="1" w:styleId="Char0">
    <w:name w:val="页脚 Char"/>
    <w:basedOn w:val="a0"/>
    <w:link w:val="a4"/>
    <w:rsid w:val="00053080"/>
    <w:rPr>
      <w:rFonts w:asciiTheme="minorHAnsi" w:eastAsiaTheme="minorEastAsia" w:hAnsiTheme="minorHAnsi" w:cstheme="minorBidi"/>
      <w:kern w:val="2"/>
      <w:sz w:val="18"/>
      <w:szCs w:val="18"/>
    </w:rPr>
  </w:style>
  <w:style w:type="paragraph" w:styleId="a5">
    <w:name w:val="Balloon Text"/>
    <w:basedOn w:val="a"/>
    <w:link w:val="Char1"/>
    <w:rsid w:val="004549B3"/>
    <w:rPr>
      <w:sz w:val="18"/>
      <w:szCs w:val="18"/>
    </w:rPr>
  </w:style>
  <w:style w:type="character" w:customStyle="1" w:styleId="Char1">
    <w:name w:val="批注框文本 Char"/>
    <w:basedOn w:val="a0"/>
    <w:link w:val="a5"/>
    <w:rsid w:val="004549B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763</Words>
  <Characters>4352</Characters>
  <Application>Microsoft Office Word</Application>
  <DocSecurity>0</DocSecurity>
  <Lines>36</Lines>
  <Paragraphs>10</Paragraphs>
  <ScaleCrop>false</ScaleCrop>
  <Company>Microsoft</Company>
  <LinksUpToDate>false</LinksUpToDate>
  <CharactersWithSpaces>5105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4</cp:revision>
  <dcterms:created xsi:type="dcterms:W3CDTF">2026-05-30T02:07:00Z</dcterms:created>
  <dcterms:modified xsi:type="dcterms:W3CDTF">2026-05-30T02:26:00Z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eyJoZGlkIjoiNTY0MDI4MTRmZjJiNjY0YzAzNzg0MDg2ZjJjMzczZDMiLCJ1c2VySWQiOiIyMTM4Njc1NzAifQ==</vt:lpwstr>
  </property>
  <property fmtid="{D5CDD505-2E9C-101B-9397-08002B2CF9AE}" pid="4" name="ICV">
    <vt:lpwstr>336BC78E091C43FB8F436FA3B53239F3_13</vt:lpwstr>
  </property>
</Properties>
</file>