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D9101">
      <w:pPr>
        <w:pStyle w:val="5"/>
        <w:jc w:val="center"/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asciiTheme="minorEastAsia" w:hAnsiTheme="minorEastAsia" w:cstheme="minorEastAsia"/>
          <w:b/>
          <w:color w:val="auto"/>
          <w:sz w:val="28"/>
          <w:szCs w:val="28"/>
          <w:highlight w:val="none"/>
        </w:rPr>
        <w:t>要求响应表</w:t>
      </w:r>
    </w:p>
    <w:p w14:paraId="6F800FA1">
      <w:pPr>
        <w:pStyle w:val="5"/>
        <w:jc w:val="center"/>
        <w:rPr>
          <w:rFonts w:hint="default" w:asciiTheme="minorEastAsia" w:hAnsiTheme="minorEastAsia" w:cstheme="minorEastAsia"/>
          <w:b/>
          <w:color w:val="auto"/>
          <w:sz w:val="28"/>
          <w:szCs w:val="28"/>
          <w:highlight w:val="none"/>
        </w:rPr>
      </w:pPr>
    </w:p>
    <w:tbl>
      <w:tblPr>
        <w:tblStyle w:val="3"/>
        <w:tblW w:w="848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3276"/>
        <w:gridCol w:w="1397"/>
      </w:tblGrid>
      <w:tr w14:paraId="1FF64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2" w:type="dxa"/>
            <w:vAlign w:val="center"/>
          </w:tcPr>
          <w:p w14:paraId="20F2622C">
            <w:pPr>
              <w:pStyle w:val="5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3276" w:type="dxa"/>
            <w:vAlign w:val="center"/>
          </w:tcPr>
          <w:p w14:paraId="5EC7FD88">
            <w:pPr>
              <w:pStyle w:val="5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  <w:t>响应文件应答</w:t>
            </w:r>
          </w:p>
        </w:tc>
        <w:tc>
          <w:tcPr>
            <w:tcW w:w="1397" w:type="dxa"/>
            <w:vAlign w:val="center"/>
          </w:tcPr>
          <w:p w14:paraId="1FBB4EE0">
            <w:pPr>
              <w:pStyle w:val="5"/>
              <w:jc w:val="center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  <w:t>是否偏离及说明</w:t>
            </w:r>
          </w:p>
        </w:tc>
      </w:tr>
      <w:tr w14:paraId="5EB7FB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2" w:type="dxa"/>
            <w:vAlign w:val="center"/>
          </w:tcPr>
          <w:p w14:paraId="0C0A24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. 本次模拟评审需配备不少于7名具备丰富医院评审实战经验的专业专家，组建专业评审团队，保障评审工作专业性与规范性。</w:t>
            </w:r>
          </w:p>
          <w:p w14:paraId="5BE1E202">
            <w:pPr>
              <w:pStyle w:val="5"/>
              <w:jc w:val="left"/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vAlign w:val="center"/>
          </w:tcPr>
          <w:p w14:paraId="4441A2EB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A2489D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0CC2D3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2" w:type="dxa"/>
            <w:vAlign w:val="center"/>
          </w:tcPr>
          <w:p w14:paraId="1405C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eastAsia="zh-CN"/>
              </w:rPr>
              <w:t>2、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</w:rPr>
              <w:t>依据既定评审标准，为院方提供时长不少于两天的全流程模拟评审专项服务，确保评审工作全面、细致开展。</w:t>
            </w:r>
          </w:p>
          <w:p w14:paraId="686462A1"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vAlign w:val="center"/>
          </w:tcPr>
          <w:p w14:paraId="5A042CDC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320F9AEC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4C902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2" w:type="dxa"/>
            <w:vAlign w:val="center"/>
          </w:tcPr>
          <w:p w14:paraId="60CCA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en-US" w:eastAsia="zh-CN"/>
              </w:rPr>
              <w:t>3、根据《福建省三级医院评审标准实施细则（2022年版）》要求提供对应综合管理组、医务管理组、医技组、护理组、院感组、药事组、数据组的综合行政管理、医疗质量安全核心管理、临床内外各专科、急诊急救与重症救治、手术麻醉与医技辅助科室、药事耗材与设备管理、医院感染防控、临床护理管理等全部评审维度。</w:t>
            </w:r>
          </w:p>
          <w:p w14:paraId="4647AEBD">
            <w:pPr>
              <w:jc w:val="left"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76" w:type="dxa"/>
            <w:vAlign w:val="center"/>
          </w:tcPr>
          <w:p w14:paraId="6EFB10B0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6188E753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0D3BB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2" w:type="dxa"/>
            <w:vAlign w:val="center"/>
          </w:tcPr>
          <w:p w14:paraId="5AFAA6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left"/>
              <w:textAlignment w:val="auto"/>
              <w:rPr>
                <w:rFonts w:asciiTheme="minorEastAsia" w:hAnsi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shd w:val="clear" w:fill="FFFFFF"/>
                <w:lang w:val="en-US" w:eastAsia="zh-CN"/>
              </w:rPr>
              <w:t>4、按照《福建省三级医院评审标准实施细则（2022年版）》的检查路径：文件查阅、记录查看、员工访谈、现场检查、员工操作、患者访谈、病历检查、病案检查、数据核查、追踪检查等方式提供现场问题排查、资料台账审核、现场流程溯源、制度落实核查等服务，并针对排查发现的短板弱项、不合规问题开展即时现场指导、整改要点解读与合规优化辅导，全面对标三级医院评审要求，帮助医院补齐管理短板、规范运营流程、夯实迎评基础。并形成评审报告及整改建议。</w:t>
            </w:r>
          </w:p>
        </w:tc>
        <w:tc>
          <w:tcPr>
            <w:tcW w:w="3276" w:type="dxa"/>
            <w:vAlign w:val="center"/>
          </w:tcPr>
          <w:p w14:paraId="67AC855E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397" w:type="dxa"/>
            <w:vAlign w:val="center"/>
          </w:tcPr>
          <w:p w14:paraId="414ADF19">
            <w:pPr>
              <w:jc w:val="center"/>
              <w:rPr>
                <w:rFonts w:asciiTheme="minorEastAsia" w:hAnsiTheme="minorEastAsia" w:cstheme="minorEastAsia"/>
                <w:color w:val="auto"/>
                <w:sz w:val="24"/>
                <w:highlight w:val="none"/>
              </w:rPr>
            </w:pPr>
          </w:p>
        </w:tc>
      </w:tr>
    </w:tbl>
    <w:p w14:paraId="44189595">
      <w:pPr>
        <w:pStyle w:val="5"/>
        <w:ind w:firstLine="480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</w:p>
    <w:p w14:paraId="4CFF116C">
      <w:pPr>
        <w:pStyle w:val="5"/>
        <w:adjustRightInd w:val="0"/>
        <w:snapToGrid w:val="0"/>
        <w:spacing w:line="440" w:lineRule="exact"/>
        <w:ind w:firstLine="482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※注意：</w:t>
      </w:r>
    </w:p>
    <w:p w14:paraId="5A8E1403">
      <w:pPr>
        <w:pStyle w:val="5"/>
        <w:adjustRightInd w:val="0"/>
        <w:snapToGrid w:val="0"/>
        <w:spacing w:line="440" w:lineRule="exact"/>
        <w:ind w:firstLine="482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1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.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供应商应在“响应文件应答”中逐项详细对应应答。</w:t>
      </w:r>
    </w:p>
    <w:p w14:paraId="6EBE16F9">
      <w:pPr>
        <w:pStyle w:val="5"/>
        <w:adjustRightInd w:val="0"/>
        <w:snapToGrid w:val="0"/>
        <w:spacing w:line="440" w:lineRule="exact"/>
        <w:ind w:firstLine="482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.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“是否偏离及说明”项下应按下列规定填写：优于的，填写“正偏离”；符合的，填写“无偏离”；低于的，填写“负偏离”。</w:t>
      </w:r>
    </w:p>
    <w:p w14:paraId="77826DFF">
      <w:pPr>
        <w:pStyle w:val="5"/>
        <w:adjustRightInd w:val="0"/>
        <w:snapToGrid w:val="0"/>
        <w:spacing w:line="440" w:lineRule="exact"/>
        <w:ind w:firstLine="482"/>
        <w:rPr>
          <w:rFonts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lang w:eastAsia="zh-CN"/>
        </w:rPr>
        <w:t>.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若需要说明的内容因格式特殊或需特殊表达的，可另页应答。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br w:type="textWrapping"/>
      </w:r>
    </w:p>
    <w:p w14:paraId="03A72B31">
      <w:pPr>
        <w:pStyle w:val="5"/>
        <w:adjustRightInd w:val="0"/>
        <w:snapToGrid w:val="0"/>
        <w:spacing w:line="440" w:lineRule="exact"/>
        <w:ind w:firstLine="482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3CFAE3B0">
      <w:pPr>
        <w:pStyle w:val="5"/>
        <w:spacing w:line="360" w:lineRule="auto"/>
        <w:ind w:firstLine="480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供应商：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u w:val="single"/>
        </w:rPr>
        <w:t>（全称并加盖单位公章）</w:t>
      </w:r>
    </w:p>
    <w:p w14:paraId="39A36C03">
      <w:pPr>
        <w:pStyle w:val="5"/>
        <w:spacing w:line="360" w:lineRule="auto"/>
        <w:ind w:firstLine="480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供应商代表签字：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u w:val="single"/>
        </w:rPr>
        <w:t xml:space="preserve">              </w:t>
      </w:r>
    </w:p>
    <w:p w14:paraId="5B7864E2">
      <w:pPr>
        <w:pStyle w:val="5"/>
        <w:ind w:firstLine="480"/>
        <w:jc w:val="both"/>
        <w:rPr>
          <w:rFonts w:hint="default" w:asciiTheme="minorEastAsia" w:hAnsiTheme="minorEastAsia" w:cstheme="minorEastAsia"/>
          <w:color w:val="auto"/>
          <w:sz w:val="24"/>
          <w:szCs w:val="24"/>
          <w:highlight w:val="none"/>
        </w:rPr>
      </w:pP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日期：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t>日</w:t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br w:type="textWrapping"/>
      </w:r>
      <w:r>
        <w:rPr>
          <w:rFonts w:asciiTheme="minorEastAsia" w:hAnsiTheme="minorEastAsia" w:cstheme="minorEastAsia"/>
          <w:color w:val="auto"/>
          <w:sz w:val="24"/>
          <w:szCs w:val="24"/>
          <w:highlight w:val="none"/>
        </w:rPr>
        <w:br w:type="textWrapping"/>
      </w:r>
    </w:p>
    <w:p w14:paraId="74FF06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3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2026-05-13T07:58:45Z</dcterms:created>
  <dc:creator>Administrator</dc:creator>
  <cp:lastModifiedBy>史宗辉</cp:lastModifiedBy>
  <dcterms:modified xsi:type="dcterms:W3CDTF">2026-05-13T08:18:41Z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eyJoZGlkIjoiOWEzMmM3NTI2ZWI0MGY1N2Q0ZThjMTVkNTJiNWU2ZDEiLCJ1c2VySWQiOiI2MjYzMTAwMjYifQ==</vt:lpwstr>
  </property>
  <property fmtid="{D5CDD505-2E9C-101B-9397-08002B2CF9AE}" pid="4" name="ICV">
    <vt:lpwstr>374FC98CAB75493C93311F407C54B710_12</vt:lpwstr>
  </property>
</Properties>
</file>